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DFA" w:rsidRPr="00B179DF" w:rsidRDefault="00EA6DF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center"/>
        <w:rPr>
          <w:rFonts w:ascii="AvenirNext LT Pro Cn" w:hAnsi="AvenirNext LT Pro Cn" w:cs="Arial"/>
          <w:sz w:val="24"/>
          <w:szCs w:val="24"/>
        </w:rPr>
      </w:pPr>
      <w:r w:rsidRPr="00B179DF">
        <w:rPr>
          <w:rFonts w:ascii="AvenirNext LT Pro Cn" w:hAnsi="AvenirNext LT Pro Cn" w:cs="Garamond"/>
          <w:b/>
          <w:bCs/>
          <w:color w:val="000000"/>
          <w:sz w:val="24"/>
          <w:szCs w:val="24"/>
        </w:rPr>
        <w:t>SOUS-TRAITANCE</w:t>
      </w:r>
    </w:p>
    <w:p w:rsidR="00EA6DFA" w:rsidRPr="00B179DF" w:rsidRDefault="00EA6DFA" w:rsidP="00884EB9">
      <w:pPr>
        <w:widowControl w:val="0"/>
        <w:autoSpaceDE w:val="0"/>
        <w:autoSpaceDN w:val="0"/>
        <w:adjustRightInd w:val="0"/>
        <w:spacing w:after="0" w:line="240" w:lineRule="auto"/>
        <w:ind w:left="117" w:right="111" w:firstLine="1159"/>
        <w:rPr>
          <w:rFonts w:ascii="AvenirNext LT Pro Cn" w:hAnsi="AvenirNext LT Pro Cn" w:cs="Garamond"/>
          <w:color w:val="000000"/>
          <w:sz w:val="24"/>
          <w:szCs w:val="24"/>
        </w:rPr>
      </w:pPr>
    </w:p>
    <w:p w:rsidR="00884EB9" w:rsidRDefault="00884EB9" w:rsidP="00884EB9">
      <w:pPr>
        <w:widowControl w:val="0"/>
        <w:autoSpaceDE w:val="0"/>
        <w:autoSpaceDN w:val="0"/>
        <w:adjustRightInd w:val="0"/>
        <w:spacing w:after="0" w:line="240" w:lineRule="auto"/>
        <w:ind w:left="-709" w:right="111" w:firstLine="1985"/>
        <w:jc w:val="both"/>
        <w:rPr>
          <w:rFonts w:ascii="AvenirNext LT Pro Cn" w:hAnsi="AvenirNext LT Pro Cn" w:cs="Garamond"/>
          <w:b/>
          <w:bCs/>
          <w:color w:val="000000"/>
        </w:rPr>
      </w:pPr>
      <w:r>
        <w:rPr>
          <w:rFonts w:ascii="AvenirNext LT Pro Cn" w:hAnsi="AvenirNext LT Pro Cn" w:cs="Garamond"/>
          <w:b/>
          <w:bCs/>
          <w:color w:val="000000"/>
        </w:rPr>
        <w:t xml:space="preserve">Mise en place d’une cellule d’écoute en matière de prévention des discriminations </w:t>
      </w:r>
    </w:p>
    <w:p w:rsidR="00EA6DFA" w:rsidRPr="00B179DF" w:rsidRDefault="00884EB9" w:rsidP="00884EB9">
      <w:pPr>
        <w:widowControl w:val="0"/>
        <w:autoSpaceDE w:val="0"/>
        <w:autoSpaceDN w:val="0"/>
        <w:adjustRightInd w:val="0"/>
        <w:spacing w:after="0" w:line="240" w:lineRule="auto"/>
        <w:ind w:left="4395" w:right="111" w:hanging="1559"/>
        <w:jc w:val="both"/>
        <w:rPr>
          <w:rFonts w:ascii="AvenirNext LT Pro Cn" w:hAnsi="AvenirNext LT Pro Cn" w:cs="Garamond"/>
          <w:color w:val="000000"/>
          <w:sz w:val="24"/>
          <w:szCs w:val="24"/>
        </w:rPr>
      </w:pPr>
      <w:bookmarkStart w:id="0" w:name="_GoBack"/>
      <w:bookmarkEnd w:id="0"/>
      <w:r>
        <w:rPr>
          <w:rFonts w:ascii="AvenirNext LT Pro Cn" w:hAnsi="AvenirNext LT Pro Cn" w:cs="Garamond"/>
          <w:b/>
          <w:bCs/>
          <w:color w:val="000000"/>
        </w:rPr>
        <w:t>et des violences sexuelles et/ou sexistes.</w:t>
      </w:r>
    </w:p>
    <w:p w:rsidR="00EA6DFA" w:rsidRPr="00B179DF" w:rsidRDefault="00EA6DF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venirNext LT Pro Cn" w:hAnsi="AvenirNext LT Pro Cn" w:cs="Garamond"/>
          <w:color w:val="000000"/>
          <w:sz w:val="24"/>
          <w:szCs w:val="24"/>
        </w:rPr>
      </w:pPr>
    </w:p>
    <w:p w:rsidR="00EA6DFA" w:rsidRPr="00B179DF" w:rsidRDefault="00463C1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venirNext LT Pro Cn" w:hAnsi="AvenirNext LT Pro Cn" w:cs="Arial"/>
          <w:sz w:val="24"/>
          <w:szCs w:val="24"/>
        </w:rPr>
      </w:pPr>
      <w:r w:rsidRPr="00B179DF">
        <w:rPr>
          <w:rFonts w:ascii="AvenirNext LT Pro Cn" w:hAnsi="AvenirNext LT Pro Cn" w:cs="Garamond"/>
          <w:i/>
          <w:iCs/>
          <w:color w:val="000000"/>
          <w:sz w:val="24"/>
          <w:szCs w:val="24"/>
        </w:rPr>
        <w:t>Si le candidat s'appuie sur les capacités d’un ou plusieurs sous-traitants, il doit justifier des capacités de ce ou ces sous-traitants et apporter la preuve qu'il en disposera pour l'exécution du marché public. Il doit également fournir une déclaration visée à l’article R2193-1 du Code de la commande publique et une déclaration du sous-traitant indiquant qu'il ne tombe pas sous le coup d'une interdiction de soumissionner. Pour ce faire, le candidat peut utiliser le présent document, fourni à titre d’exemple.</w:t>
      </w:r>
    </w:p>
    <w:p w:rsidR="00EA6DFA" w:rsidRPr="00B179DF" w:rsidRDefault="00EA6DF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venirNext LT Pro Cn" w:hAnsi="AvenirNext LT Pro Cn" w:cs="Garamond"/>
          <w:color w:val="000000"/>
          <w:sz w:val="24"/>
          <w:szCs w:val="24"/>
        </w:rPr>
      </w:pPr>
    </w:p>
    <w:p w:rsidR="00EA6DFA" w:rsidRPr="00B179DF" w:rsidRDefault="00EA6DF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venirNext LT Pro Cn" w:hAnsi="AvenirNext LT Pro Cn" w:cs="Garamond"/>
          <w:color w:val="000000"/>
          <w:sz w:val="24"/>
          <w:szCs w:val="24"/>
        </w:rPr>
      </w:pPr>
    </w:p>
    <w:p w:rsidR="00EA6DFA" w:rsidRPr="00B179DF" w:rsidRDefault="00EA6DF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venirNext LT Pro Cn" w:hAnsi="AvenirNext LT Pro Cn" w:cs="Arial"/>
          <w:sz w:val="24"/>
          <w:szCs w:val="24"/>
        </w:rPr>
      </w:pPr>
      <w:r w:rsidRPr="00B179DF">
        <w:rPr>
          <w:rFonts w:ascii="AvenirNext LT Pro Cn" w:hAnsi="AvenirNext LT Pro Cn" w:cs="Garamond"/>
          <w:color w:val="000000"/>
          <w:sz w:val="24"/>
          <w:szCs w:val="24"/>
        </w:rPr>
        <w:t>Le candidat apporte la preuve qu’il disposera pour l'exécution du marché public des capacités du ou des sous-traitant(s) présenté(s) dans le dossier de candidature en transmettant au pouvoir adjudicateur l’attestation suivante du sous-traitant :</w:t>
      </w:r>
    </w:p>
    <w:p w:rsidR="00EA6DFA" w:rsidRPr="00B179DF" w:rsidRDefault="00EA6DF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venirNext LT Pro Cn" w:hAnsi="AvenirNext LT Pro Cn" w:cs="Garamond"/>
          <w:color w:val="000000"/>
          <w:sz w:val="24"/>
          <w:szCs w:val="24"/>
        </w:rPr>
      </w:pPr>
    </w:p>
    <w:p w:rsidR="00EA6DFA" w:rsidRPr="00B179DF" w:rsidRDefault="00EA6DFA">
      <w:pPr>
        <w:widowControl w:val="0"/>
        <w:tabs>
          <w:tab w:val="left" w:pos="684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venirNext LT Pro Cn" w:hAnsi="AvenirNext LT Pro Cn" w:cs="Arial"/>
          <w:sz w:val="24"/>
          <w:szCs w:val="24"/>
        </w:rPr>
      </w:pPr>
      <w:r w:rsidRPr="00B179DF">
        <w:rPr>
          <w:rFonts w:ascii="AvenirNext LT Pro Cn" w:hAnsi="AvenirNext LT Pro Cn" w:cs="Garamond"/>
          <w:b/>
          <w:bCs/>
          <w:color w:val="000000"/>
          <w:sz w:val="24"/>
          <w:szCs w:val="24"/>
        </w:rPr>
        <w:t>Le sous-traitant ………………………</w:t>
      </w:r>
      <w:proofErr w:type="gramStart"/>
      <w:r w:rsidRPr="00B179DF">
        <w:rPr>
          <w:rFonts w:ascii="AvenirNext LT Pro Cn" w:hAnsi="AvenirNext LT Pro Cn" w:cs="Garamond"/>
          <w:b/>
          <w:bCs/>
          <w:color w:val="000000"/>
          <w:sz w:val="24"/>
          <w:szCs w:val="24"/>
        </w:rPr>
        <w:t>…….</w:t>
      </w:r>
      <w:proofErr w:type="gramEnd"/>
      <w:r w:rsidRPr="00B179DF">
        <w:rPr>
          <w:rFonts w:ascii="AvenirNext LT Pro Cn" w:hAnsi="AvenirNext LT Pro Cn" w:cs="Garamond"/>
          <w:b/>
          <w:bCs/>
          <w:color w:val="000000"/>
          <w:sz w:val="24"/>
          <w:szCs w:val="24"/>
        </w:rPr>
        <w:t xml:space="preserve">. </w:t>
      </w:r>
      <w:proofErr w:type="gramStart"/>
      <w:r w:rsidRPr="00B179DF">
        <w:rPr>
          <w:rFonts w:ascii="AvenirNext LT Pro Cn" w:hAnsi="AvenirNext LT Pro Cn" w:cs="Garamond"/>
          <w:b/>
          <w:bCs/>
          <w:color w:val="000000"/>
          <w:sz w:val="24"/>
          <w:szCs w:val="24"/>
        </w:rPr>
        <w:t>atteste</w:t>
      </w:r>
      <w:proofErr w:type="gramEnd"/>
      <w:r w:rsidRPr="00B179DF">
        <w:rPr>
          <w:rFonts w:ascii="AvenirNext LT Pro Cn" w:hAnsi="AvenirNext LT Pro Cn" w:cs="Garamond"/>
          <w:b/>
          <w:bCs/>
          <w:color w:val="000000"/>
          <w:sz w:val="24"/>
          <w:szCs w:val="24"/>
        </w:rPr>
        <w:t xml:space="preserve"> qu’il mettra à disposition du candidat …………………………….. </w:t>
      </w:r>
      <w:proofErr w:type="gramStart"/>
      <w:r w:rsidRPr="00B179DF">
        <w:rPr>
          <w:rFonts w:ascii="AvenirNext LT Pro Cn" w:hAnsi="AvenirNext LT Pro Cn" w:cs="Garamond"/>
          <w:b/>
          <w:bCs/>
          <w:color w:val="000000"/>
          <w:sz w:val="24"/>
          <w:szCs w:val="24"/>
        </w:rPr>
        <w:t>ses</w:t>
      </w:r>
      <w:proofErr w:type="gramEnd"/>
      <w:r w:rsidRPr="00B179DF">
        <w:rPr>
          <w:rFonts w:ascii="AvenirNext LT Pro Cn" w:hAnsi="AvenirNext LT Pro Cn" w:cs="Garamond"/>
          <w:b/>
          <w:bCs/>
          <w:color w:val="000000"/>
          <w:sz w:val="24"/>
          <w:szCs w:val="24"/>
        </w:rPr>
        <w:t xml:space="preserve"> capacités lors de l’exécution du marché public visé ci-dessus.</w:t>
      </w:r>
    </w:p>
    <w:p w:rsidR="00EA6DFA" w:rsidRPr="00B179DF" w:rsidRDefault="00EA6DF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venirNext LT Pro Cn" w:hAnsi="AvenirNext LT Pro Cn" w:cs="Garamond"/>
          <w:color w:val="000000"/>
          <w:sz w:val="24"/>
          <w:szCs w:val="24"/>
        </w:rPr>
      </w:pPr>
    </w:p>
    <w:p w:rsidR="00EA6DFA" w:rsidRPr="00B179DF" w:rsidRDefault="00EA6DFA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venirNext LT Pro Cn" w:hAnsi="AvenirNext LT Pro Cn" w:cs="Arial"/>
          <w:sz w:val="24"/>
          <w:szCs w:val="24"/>
        </w:rPr>
      </w:pPr>
      <w:r w:rsidRPr="00B179DF">
        <w:rPr>
          <w:rFonts w:ascii="AvenirNext LT Pro Cn" w:hAnsi="AvenirNext LT Pro Cn" w:cs="Garamond"/>
          <w:color w:val="000000"/>
          <w:sz w:val="24"/>
          <w:szCs w:val="24"/>
        </w:rPr>
        <w:t xml:space="preserve">Par ailleurs, le sous-traitant déclare sur l’honneur ne pas entrer dans l’un des cas d’exclusion prévus aux </w:t>
      </w:r>
      <w:hyperlink r:id="rId5" w:tgtFrame="_blank" w:history="1">
        <w:r w:rsidRPr="00B179DF">
          <w:rPr>
            <w:rFonts w:ascii="AvenirNext LT Pro Cn" w:hAnsi="AvenirNext LT Pro Cn" w:cs="Garamond"/>
            <w:color w:val="0000FF"/>
            <w:sz w:val="24"/>
            <w:szCs w:val="24"/>
            <w:u w:val="single"/>
          </w:rPr>
          <w:t>articles L. 2141-1 à L. 2141-5</w:t>
        </w:r>
      </w:hyperlink>
      <w:r w:rsidRPr="00B179DF">
        <w:rPr>
          <w:rFonts w:ascii="AvenirNext LT Pro Cn" w:hAnsi="AvenirNext LT Pro Cn" w:cs="Garamond"/>
          <w:color w:val="000000"/>
          <w:sz w:val="24"/>
          <w:szCs w:val="24"/>
        </w:rPr>
        <w:t xml:space="preserve"> ou aux </w:t>
      </w:r>
      <w:hyperlink r:id="rId6" w:tgtFrame="_blank" w:history="1">
        <w:r w:rsidRPr="00B179DF">
          <w:rPr>
            <w:rFonts w:ascii="AvenirNext LT Pro Cn" w:hAnsi="AvenirNext LT Pro Cn" w:cs="Garamond"/>
            <w:color w:val="0000FF"/>
            <w:sz w:val="24"/>
            <w:szCs w:val="24"/>
            <w:u w:val="single"/>
          </w:rPr>
          <w:t>articles L. 2141-7 à L. 2141-10</w:t>
        </w:r>
      </w:hyperlink>
      <w:r w:rsidRPr="00B179DF">
        <w:rPr>
          <w:rFonts w:ascii="AvenirNext LT Pro Cn" w:hAnsi="AvenirNext LT Pro Cn" w:cs="Garamond"/>
          <w:color w:val="000000"/>
          <w:sz w:val="24"/>
          <w:szCs w:val="24"/>
        </w:rPr>
        <w:t xml:space="preserve"> du code de la commande publique. Afin d’attester que le sous-traitant n’est pas dans un de ces cas d’interdiction de soumissionner, cocher la case suivante : </w:t>
      </w:r>
      <w:r w:rsidR="00B179DF">
        <w:rPr>
          <w:rFonts w:ascii="AvenirNext LT Pro Cn" w:hAnsi="AvenirNext LT Pro Cn" w:cs="Garamond"/>
          <w:color w:val="000000"/>
          <w:sz w:val="24"/>
          <w:szCs w:val="24"/>
        </w:rPr>
        <w:t xml:space="preserve"> </w:t>
      </w:r>
      <w:r w:rsidR="00B179DF">
        <w:rPr>
          <w:rFonts w:ascii="AvenirNext LT Pro Cn" w:hAnsi="AvenirNext LT Pro Cn" w:cs="Wingdings"/>
          <w:color w:val="000000"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"/>
      <w:r w:rsidR="00B179DF">
        <w:rPr>
          <w:rFonts w:ascii="AvenirNext LT Pro Cn" w:hAnsi="AvenirNext LT Pro Cn" w:cs="Wingdings"/>
          <w:color w:val="000000"/>
          <w:sz w:val="24"/>
          <w:szCs w:val="24"/>
        </w:rPr>
        <w:instrText xml:space="preserve"> FORMCHECKBOX </w:instrText>
      </w:r>
      <w:r w:rsidR="00884EB9">
        <w:rPr>
          <w:rFonts w:ascii="AvenirNext LT Pro Cn" w:hAnsi="AvenirNext LT Pro Cn" w:cs="Wingdings"/>
          <w:color w:val="000000"/>
          <w:sz w:val="24"/>
          <w:szCs w:val="24"/>
        </w:rPr>
      </w:r>
      <w:r w:rsidR="00884EB9">
        <w:rPr>
          <w:rFonts w:ascii="AvenirNext LT Pro Cn" w:hAnsi="AvenirNext LT Pro Cn" w:cs="Wingdings"/>
          <w:color w:val="000000"/>
          <w:sz w:val="24"/>
          <w:szCs w:val="24"/>
        </w:rPr>
        <w:fldChar w:fldCharType="separate"/>
      </w:r>
      <w:r w:rsidR="00B179DF">
        <w:rPr>
          <w:rFonts w:ascii="AvenirNext LT Pro Cn" w:hAnsi="AvenirNext LT Pro Cn" w:cs="Wingdings"/>
          <w:color w:val="000000"/>
          <w:sz w:val="24"/>
          <w:szCs w:val="24"/>
        </w:rPr>
        <w:fldChar w:fldCharType="end"/>
      </w:r>
      <w:bookmarkEnd w:id="1"/>
    </w:p>
    <w:p w:rsidR="00EA6DFA" w:rsidRPr="00B179DF" w:rsidRDefault="00EA6DF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venirNext LT Pro Cn" w:hAnsi="AvenirNext LT Pro Cn" w:cs="Garamond"/>
          <w:color w:val="000000"/>
          <w:sz w:val="24"/>
          <w:szCs w:val="24"/>
        </w:rPr>
      </w:pPr>
    </w:p>
    <w:p w:rsidR="00EA6DFA" w:rsidRPr="00B179DF" w:rsidRDefault="00EA6DF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venirNext LT Pro Cn" w:hAnsi="AvenirNext LT Pro Cn" w:cs="Arial"/>
          <w:sz w:val="24"/>
          <w:szCs w:val="24"/>
        </w:rPr>
      </w:pPr>
      <w:r w:rsidRPr="00B179DF">
        <w:rPr>
          <w:rFonts w:ascii="AvenirNext LT Pro Cn" w:hAnsi="AvenirNext LT Pro Cn" w:cs="Garamond"/>
          <w:color w:val="000000"/>
          <w:sz w:val="24"/>
          <w:szCs w:val="24"/>
        </w:rPr>
        <w:t>(*) Dans l’hypothèse où le sous-traitant est admis à la procédure de redressement judiciaire, son attention est attirée sur le fait qu’il devra prouver qu’il a été habilité à poursuivre ses activités pendant la durée prévisible d’exécution du marché public.</w:t>
      </w:r>
    </w:p>
    <w:p w:rsidR="00EA6DFA" w:rsidRPr="00B179DF" w:rsidRDefault="00EA6DF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venirNext LT Pro Cn" w:hAnsi="AvenirNext LT Pro Cn" w:cs="Garamond"/>
          <w:color w:val="000000"/>
          <w:sz w:val="24"/>
          <w:szCs w:val="24"/>
        </w:rPr>
      </w:pPr>
    </w:p>
    <w:p w:rsidR="00EA6DFA" w:rsidRPr="00B179DF" w:rsidRDefault="00EA6DF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venirNext LT Pro Cn" w:hAnsi="AvenirNext LT Pro Cn" w:cs="Arial"/>
          <w:sz w:val="24"/>
          <w:szCs w:val="24"/>
        </w:rPr>
      </w:pPr>
      <w:r w:rsidRPr="00B179DF">
        <w:rPr>
          <w:rFonts w:ascii="AvenirNext LT Pro Cn" w:hAnsi="AvenirNext LT Pro Cn" w:cs="Garamond"/>
          <w:color w:val="000000"/>
          <w:sz w:val="24"/>
          <w:szCs w:val="24"/>
        </w:rPr>
        <w:t>A…………………</w:t>
      </w:r>
      <w:proofErr w:type="gramStart"/>
      <w:r w:rsidRPr="00B179DF">
        <w:rPr>
          <w:rFonts w:ascii="AvenirNext LT Pro Cn" w:hAnsi="AvenirNext LT Pro Cn" w:cs="Garamond"/>
          <w:color w:val="000000"/>
          <w:sz w:val="24"/>
          <w:szCs w:val="24"/>
        </w:rPr>
        <w:t>…….</w:t>
      </w:r>
      <w:proofErr w:type="gramEnd"/>
      <w:r w:rsidRPr="00B179DF">
        <w:rPr>
          <w:rFonts w:ascii="AvenirNext LT Pro Cn" w:hAnsi="AvenirNext LT Pro Cn" w:cs="Garamond"/>
          <w:color w:val="000000"/>
          <w:sz w:val="24"/>
          <w:szCs w:val="24"/>
        </w:rPr>
        <w:t>, le……………………..</w:t>
      </w:r>
    </w:p>
    <w:p w:rsidR="00EA6DFA" w:rsidRPr="00B179DF" w:rsidRDefault="00EA6DF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venirNext LT Pro Cn" w:hAnsi="AvenirNext LT Pro Cn" w:cs="Garamond"/>
          <w:color w:val="000000"/>
          <w:sz w:val="24"/>
          <w:szCs w:val="24"/>
        </w:rPr>
      </w:pPr>
    </w:p>
    <w:p w:rsidR="00EA6DFA" w:rsidRPr="00B179DF" w:rsidRDefault="00EA6DF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venirNext LT Pro Cn" w:hAnsi="AvenirNext LT Pro Cn" w:cs="Arial"/>
          <w:sz w:val="24"/>
          <w:szCs w:val="24"/>
        </w:rPr>
      </w:pPr>
      <w:r w:rsidRPr="00B179DF">
        <w:rPr>
          <w:rFonts w:ascii="AvenirNext LT Pro Cn" w:hAnsi="AvenirNext LT Pro Cn" w:cs="Garamond"/>
          <w:color w:val="000000"/>
          <w:sz w:val="24"/>
          <w:szCs w:val="24"/>
        </w:rPr>
        <w:t>Le représentant habilité du sous-traitant</w:t>
      </w:r>
    </w:p>
    <w:p w:rsidR="00EA6DFA" w:rsidRPr="00B179DF" w:rsidRDefault="00EA6DF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venirNext LT Pro Cn" w:hAnsi="AvenirNext LT Pro Cn" w:cs="Arial"/>
          <w:sz w:val="24"/>
          <w:szCs w:val="24"/>
        </w:rPr>
      </w:pPr>
      <w:bookmarkStart w:id="2" w:name="page_total_master0"/>
      <w:bookmarkStart w:id="3" w:name="page_total"/>
      <w:bookmarkEnd w:id="2"/>
      <w:bookmarkEnd w:id="3"/>
    </w:p>
    <w:sectPr w:rsidR="00EA6DFA" w:rsidRPr="00B179DF">
      <w:pgSz w:w="11900" w:h="16820"/>
      <w:pgMar w:top="1400" w:right="1300" w:bottom="1400" w:left="1300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Next LT Pro Cn">
    <w:panose1 w:val="020B05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15"/>
    <w:lvl w:ilvl="0">
      <w:start w:val="1"/>
      <w:numFmt w:val="lowerLetter"/>
      <w:lvlText w:val="%1)"/>
      <w:lvlJc w:val="left"/>
      <w:pPr>
        <w:tabs>
          <w:tab w:val="num" w:pos="468"/>
        </w:tabs>
        <w:ind w:left="468" w:hanging="360"/>
      </w:pPr>
      <w:rPr>
        <w:rFonts w:ascii="Arial" w:hAnsi="Arial" w:cs="Arial"/>
        <w:b/>
        <w:bCs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82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)"/>
      <w:lvlJc w:val="left"/>
      <w:pPr>
        <w:tabs>
          <w:tab w:val="num" w:pos="118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(%4)"/>
      <w:lvlJc w:val="left"/>
      <w:pPr>
        <w:tabs>
          <w:tab w:val="num" w:pos="154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1908"/>
        </w:tabs>
        <w:ind w:left="19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26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62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98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34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1F95E80"/>
    <w:multiLevelType w:val="multilevel"/>
    <w:tmpl w:val="0000001F"/>
    <w:lvl w:ilvl="0">
      <w:start w:val="1"/>
      <w:numFmt w:val="decimal"/>
      <w:lvlText w:val="Article%1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464E4F33"/>
    <w:multiLevelType w:val="multilevel"/>
    <w:tmpl w:val="00000001"/>
    <w:lvl w:ilvl="0">
      <w:start w:val="1"/>
      <w:numFmt w:val="decimal"/>
      <w:lvlText w:val="Article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4FC46582"/>
    <w:multiLevelType w:val="multilevel"/>
    <w:tmpl w:val="0000000B"/>
    <w:lvl w:ilvl="0">
      <w:start w:val="1"/>
      <w:numFmt w:val="decimal"/>
      <w:lvlText w:val="Article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7"/>
  <w:displayBackgroundShape/>
  <w:embedSystemFonts/>
  <w:bordersDoNotSurroundHeader/>
  <w:bordersDoNotSurroundFooter/>
  <w:proofState w:spelling="clean" w:grammar="clean"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3E8"/>
    <w:rsid w:val="000519EE"/>
    <w:rsid w:val="001149B0"/>
    <w:rsid w:val="00463C10"/>
    <w:rsid w:val="006423E8"/>
    <w:rsid w:val="00884EB9"/>
    <w:rsid w:val="00B179DF"/>
    <w:rsid w:val="00D20BCF"/>
    <w:rsid w:val="00D73F26"/>
    <w:rsid w:val="00EA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6BB88CD-576A-445D-8C7E-0880E370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545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egifrance.gouv.fr/affichCode.do?idSectionTA=LEGISCTA000037703603&amp;cidTexte=LEGITEXT000037701019&amp;dateTexte=20190401" TargetMode="External"/><Relationship Id="rId5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Sandrine Hamel</dc:creator>
  <cp:keywords/>
  <dc:description>Generated by Oracle BI Publisher 10.1.3.4.2</dc:description>
  <cp:lastModifiedBy>Sandra Fourrier</cp:lastModifiedBy>
  <cp:revision>3</cp:revision>
  <dcterms:created xsi:type="dcterms:W3CDTF">2025-10-08T14:17:00Z</dcterms:created>
  <dcterms:modified xsi:type="dcterms:W3CDTF">2025-10-09T07:58:00Z</dcterms:modified>
</cp:coreProperties>
</file>